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29" w:rsidRDefault="001B1B29" w:rsidP="001B1B29">
      <w:pPr>
        <w:spacing w:line="360" w:lineRule="auto"/>
        <w:jc w:val="both"/>
        <w:rPr>
          <w:b/>
        </w:rPr>
      </w:pPr>
      <w:r>
        <w:rPr>
          <w:b/>
        </w:rPr>
        <w:t>Supplemental Figures</w:t>
      </w:r>
    </w:p>
    <w:p w:rsidR="001B1B29" w:rsidRDefault="001B1B29" w:rsidP="001B1B29">
      <w:pPr>
        <w:spacing w:line="240" w:lineRule="auto"/>
      </w:pPr>
    </w:p>
    <w:p w:rsidR="001B1B29" w:rsidRDefault="001B1B29" w:rsidP="001B1B29">
      <w:pPr>
        <w:spacing w:line="240" w:lineRule="auto"/>
      </w:pPr>
    </w:p>
    <w:p w:rsidR="001B1B29" w:rsidRDefault="001B1B29" w:rsidP="001B1B29">
      <w:pPr>
        <w:spacing w:line="360" w:lineRule="auto"/>
        <w:jc w:val="center"/>
      </w:pPr>
      <w:r>
        <w:rPr>
          <w:noProof/>
          <w:lang w:val="en-IN"/>
        </w:rPr>
        <w:drawing>
          <wp:inline distT="114300" distB="114300" distL="114300" distR="114300" wp14:anchorId="299B90B2" wp14:editId="500AD185">
            <wp:extent cx="3810000" cy="267409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3810000" cy="2674099"/>
                    </a:xfrm>
                    <a:prstGeom prst="rect">
                      <a:avLst/>
                    </a:prstGeom>
                    <a:ln/>
                  </pic:spPr>
                </pic:pic>
              </a:graphicData>
            </a:graphic>
          </wp:inline>
        </w:drawing>
      </w:r>
    </w:p>
    <w:p w:rsidR="001B1B29" w:rsidRDefault="001B1B29" w:rsidP="001B1B29">
      <w:pPr>
        <w:spacing w:line="240" w:lineRule="auto"/>
        <w:rPr>
          <w:b/>
          <w:sz w:val="20"/>
          <w:szCs w:val="20"/>
        </w:rPr>
      </w:pPr>
    </w:p>
    <w:p w:rsidR="001B1B29" w:rsidRDefault="001B1B29" w:rsidP="001B1B29">
      <w:pPr>
        <w:spacing w:line="240" w:lineRule="auto"/>
        <w:rPr>
          <w:sz w:val="20"/>
          <w:szCs w:val="20"/>
        </w:rPr>
      </w:pPr>
      <w:r>
        <w:rPr>
          <w:b/>
          <w:sz w:val="20"/>
          <w:szCs w:val="20"/>
        </w:rPr>
        <w:t>Figure S1.</w:t>
      </w:r>
      <w:r>
        <w:rPr>
          <w:sz w:val="20"/>
          <w:szCs w:val="20"/>
        </w:rPr>
        <w:t xml:space="preserve"> Distribution of (1) participant accuracy on graph reconstruction task ( the percentage of correctly identified edges) and (2) chance level (permutation-derived) accuracy for each subject. We estimated chance accuracy for each subject by randomly shuffling the graph 1000 times (such that connections between nodes differ from those in the ground truth graph), evaluating the accuracy of connected edges based on the adjacency matrix of the shuffled graph and averaging accuracy values in each subject. The edge connections based on the shuffled graph are a proxy of how accurate subjects would be if they were guessing at random while drawing the edges between nodes. Our results show that participants’ edge connection accuracy evaluated based on the ground truth adjacency matrix is significantly greater than the chance accuracy based on the randomly shuffled graphs, confirming that on average participants were not randomly configuring the edges. </w:t>
      </w:r>
    </w:p>
    <w:p w:rsidR="001B1B29" w:rsidRDefault="001B1B29" w:rsidP="001B1B29">
      <w:pPr>
        <w:spacing w:line="240" w:lineRule="auto"/>
        <w:rPr>
          <w:sz w:val="20"/>
          <w:szCs w:val="20"/>
        </w:rPr>
      </w:pPr>
    </w:p>
    <w:p w:rsidR="001B1B29" w:rsidRDefault="001B1B29" w:rsidP="001B1B29">
      <w:pPr>
        <w:spacing w:line="360" w:lineRule="auto"/>
        <w:jc w:val="both"/>
      </w:pPr>
    </w:p>
    <w:p w:rsidR="001B1B29" w:rsidRDefault="001B1B29" w:rsidP="001B1B29">
      <w:pPr>
        <w:spacing w:line="360" w:lineRule="auto"/>
        <w:jc w:val="center"/>
      </w:pPr>
    </w:p>
    <w:p w:rsidR="001B1B29" w:rsidRDefault="001B1B29" w:rsidP="001B1B29">
      <w:pPr>
        <w:spacing w:line="360" w:lineRule="auto"/>
        <w:jc w:val="center"/>
      </w:pPr>
      <w:r>
        <w:rPr>
          <w:noProof/>
          <w:lang w:val="en-IN"/>
        </w:rPr>
        <w:lastRenderedPageBreak/>
        <w:drawing>
          <wp:inline distT="114300" distB="114300" distL="114300" distR="114300" wp14:anchorId="4A14BD23" wp14:editId="18A8B378">
            <wp:extent cx="4452938" cy="337476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4452938" cy="3374766"/>
                    </a:xfrm>
                    <a:prstGeom prst="rect">
                      <a:avLst/>
                    </a:prstGeom>
                    <a:ln/>
                  </pic:spPr>
                </pic:pic>
              </a:graphicData>
            </a:graphic>
          </wp:inline>
        </w:drawing>
      </w:r>
    </w:p>
    <w:p w:rsidR="001B1B29" w:rsidRDefault="001B1B29" w:rsidP="001B1B29">
      <w:pPr>
        <w:spacing w:line="240" w:lineRule="auto"/>
        <w:jc w:val="both"/>
        <w:rPr>
          <w:b/>
          <w:sz w:val="20"/>
          <w:szCs w:val="20"/>
        </w:rPr>
      </w:pPr>
    </w:p>
    <w:p w:rsidR="001B1B29" w:rsidRDefault="001B1B29" w:rsidP="001B1B29">
      <w:pPr>
        <w:spacing w:line="240" w:lineRule="auto"/>
        <w:jc w:val="both"/>
        <w:rPr>
          <w:sz w:val="20"/>
          <w:szCs w:val="20"/>
        </w:rPr>
      </w:pPr>
      <w:r>
        <w:rPr>
          <w:b/>
          <w:sz w:val="20"/>
          <w:szCs w:val="20"/>
        </w:rPr>
        <w:t>Figure S2.</w:t>
      </w:r>
      <w:r>
        <w:rPr>
          <w:sz w:val="20"/>
          <w:szCs w:val="20"/>
        </w:rPr>
        <w:t xml:space="preserve"> Pairwise correlations between all graph-task measures.</w:t>
      </w:r>
    </w:p>
    <w:p w:rsidR="001B1B29" w:rsidRDefault="001B1B29" w:rsidP="001B1B29">
      <w:pPr>
        <w:spacing w:line="360" w:lineRule="auto"/>
        <w:jc w:val="both"/>
      </w:pPr>
    </w:p>
    <w:p w:rsidR="001B1B29" w:rsidRDefault="001B1B29" w:rsidP="001B1B29">
      <w:pPr>
        <w:spacing w:line="360" w:lineRule="auto"/>
        <w:jc w:val="both"/>
      </w:pPr>
    </w:p>
    <w:p w:rsidR="001B1B29" w:rsidRDefault="001B1B29" w:rsidP="001B1B29">
      <w:pPr>
        <w:spacing w:line="360" w:lineRule="auto"/>
        <w:jc w:val="both"/>
      </w:pPr>
    </w:p>
    <w:p w:rsidR="001B1B29" w:rsidRDefault="001B1B29" w:rsidP="001B1B29">
      <w:pPr>
        <w:spacing w:line="360" w:lineRule="auto"/>
        <w:jc w:val="center"/>
      </w:pPr>
    </w:p>
    <w:p w:rsidR="001B1B29" w:rsidRDefault="001B1B29" w:rsidP="001B1B29">
      <w:pPr>
        <w:spacing w:line="360" w:lineRule="auto"/>
        <w:jc w:val="center"/>
      </w:pPr>
      <w:r>
        <w:rPr>
          <w:noProof/>
          <w:lang w:val="en-IN"/>
        </w:rPr>
        <w:lastRenderedPageBreak/>
        <w:drawing>
          <wp:inline distT="114300" distB="114300" distL="114300" distR="114300" wp14:anchorId="1AF9CE93" wp14:editId="7C7697EB">
            <wp:extent cx="5943600" cy="42799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4279900"/>
                    </a:xfrm>
                    <a:prstGeom prst="rect">
                      <a:avLst/>
                    </a:prstGeom>
                    <a:ln/>
                  </pic:spPr>
                </pic:pic>
              </a:graphicData>
            </a:graphic>
          </wp:inline>
        </w:drawing>
      </w:r>
    </w:p>
    <w:p w:rsidR="001B1B29" w:rsidRDefault="001B1B29" w:rsidP="001B1B29">
      <w:pPr>
        <w:spacing w:line="240" w:lineRule="auto"/>
        <w:jc w:val="both"/>
        <w:rPr>
          <w:b/>
        </w:rPr>
      </w:pPr>
    </w:p>
    <w:p w:rsidR="001B1B29" w:rsidRDefault="001B1B29" w:rsidP="001B1B29">
      <w:pPr>
        <w:spacing w:line="240" w:lineRule="auto"/>
        <w:jc w:val="both"/>
        <w:rPr>
          <w:b/>
          <w:sz w:val="20"/>
          <w:szCs w:val="20"/>
        </w:rPr>
      </w:pPr>
      <w:r>
        <w:rPr>
          <w:b/>
          <w:sz w:val="20"/>
          <w:szCs w:val="20"/>
        </w:rPr>
        <w:t>Figure S3.</w:t>
      </w:r>
      <w:r>
        <w:rPr>
          <w:b/>
          <w:i/>
          <w:sz w:val="20"/>
          <w:szCs w:val="20"/>
          <w:highlight w:val="white"/>
        </w:rPr>
        <w:t xml:space="preserve"> Model-based learning is associated with individual structure inference measures. </w:t>
      </w:r>
      <w:r>
        <w:rPr>
          <w:sz w:val="20"/>
          <w:szCs w:val="20"/>
          <w:highlight w:val="white"/>
        </w:rPr>
        <w:t>The</w:t>
      </w:r>
      <w:r>
        <w:rPr>
          <w:b/>
          <w:i/>
          <w:sz w:val="20"/>
          <w:szCs w:val="20"/>
          <w:highlight w:val="white"/>
        </w:rPr>
        <w:t xml:space="preserve"> </w:t>
      </w:r>
      <w:r>
        <w:rPr>
          <w:sz w:val="20"/>
          <w:szCs w:val="20"/>
          <w:highlight w:val="white"/>
        </w:rPr>
        <w:t xml:space="preserve">y-axis corresponds to the fit value of the model-based weighting parameter </w:t>
      </w:r>
      <w:r>
        <w:rPr>
          <w:sz w:val="20"/>
          <w:szCs w:val="20"/>
        </w:rPr>
        <w:t>𝛽</w:t>
      </w:r>
      <w:r>
        <w:rPr>
          <w:sz w:val="20"/>
          <w:szCs w:val="20"/>
          <w:vertAlign w:val="subscript"/>
        </w:rPr>
        <w:t>MB</w:t>
      </w:r>
      <w:r>
        <w:rPr>
          <w:sz w:val="20"/>
          <w:szCs w:val="20"/>
          <w:highlight w:val="white"/>
        </w:rPr>
        <w:t>. The x-axis in the above figures plots the following: overall judgment accuracy, judgment accuracy by relative distance, response time by total distance, response time by relative distance, true vs. estimated distance correlation, edge connection accuracy.</w:t>
      </w: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240" w:lineRule="auto"/>
        <w:jc w:val="both"/>
        <w:rPr>
          <w:b/>
        </w:rPr>
      </w:pPr>
    </w:p>
    <w:p w:rsidR="001B1B29" w:rsidRDefault="001B1B29" w:rsidP="001B1B29">
      <w:pPr>
        <w:spacing w:line="240" w:lineRule="auto"/>
        <w:jc w:val="both"/>
        <w:rPr>
          <w:b/>
        </w:rPr>
      </w:pPr>
    </w:p>
    <w:p w:rsidR="001B1B29" w:rsidRDefault="001B1B29" w:rsidP="001B1B29">
      <w:pPr>
        <w:spacing w:line="240" w:lineRule="auto"/>
        <w:jc w:val="both"/>
        <w:rPr>
          <w:b/>
        </w:rPr>
      </w:pPr>
    </w:p>
    <w:p w:rsidR="001B1B29" w:rsidRDefault="001B1B29" w:rsidP="001B1B29">
      <w:pPr>
        <w:spacing w:line="240" w:lineRule="auto"/>
        <w:jc w:val="both"/>
        <w:rPr>
          <w:b/>
        </w:rPr>
      </w:pPr>
    </w:p>
    <w:p w:rsidR="001B1B29" w:rsidRDefault="001B1B29" w:rsidP="001B1B29">
      <w:pPr>
        <w:spacing w:line="240" w:lineRule="auto"/>
        <w:jc w:val="center"/>
        <w:rPr>
          <w:b/>
        </w:rPr>
      </w:pPr>
      <w:r>
        <w:rPr>
          <w:b/>
          <w:noProof/>
          <w:lang w:val="en-IN"/>
        </w:rPr>
        <w:lastRenderedPageBreak/>
        <w:drawing>
          <wp:inline distT="114300" distB="114300" distL="114300" distR="114300" wp14:anchorId="6CAF0D40" wp14:editId="129C4C42">
            <wp:extent cx="5943600" cy="6680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6680200"/>
                    </a:xfrm>
                    <a:prstGeom prst="rect">
                      <a:avLst/>
                    </a:prstGeom>
                    <a:ln/>
                  </pic:spPr>
                </pic:pic>
              </a:graphicData>
            </a:graphic>
          </wp:inline>
        </w:drawing>
      </w:r>
    </w:p>
    <w:p w:rsidR="001B1B29" w:rsidRDefault="001B1B29" w:rsidP="001B1B29">
      <w:pPr>
        <w:spacing w:line="240" w:lineRule="auto"/>
        <w:jc w:val="both"/>
        <w:rPr>
          <w:b/>
        </w:rPr>
      </w:pPr>
    </w:p>
    <w:p w:rsidR="001B1B29" w:rsidRDefault="001B1B29" w:rsidP="001B1B29">
      <w:pPr>
        <w:spacing w:line="240" w:lineRule="auto"/>
        <w:jc w:val="both"/>
        <w:rPr>
          <w:b/>
        </w:rPr>
      </w:pPr>
      <w:r>
        <w:rPr>
          <w:b/>
        </w:rPr>
        <w:t>Figure S4. Exploratory PCA on individual differences</w:t>
      </w:r>
      <w:r>
        <w:t>. Our exploratory PCA (promax rotated) revealed that the data supported a two component model (A), with factors putatively related to structure learning (Component 1) and motivation (Component 2; B). (C) Our model-based index loaded on to both of these components.</w:t>
      </w: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r>
        <w:rPr>
          <w:b/>
        </w:rPr>
        <w:lastRenderedPageBreak/>
        <w:t>Supplemental Tables</w:t>
      </w:r>
    </w:p>
    <w:tbl>
      <w:tblPr>
        <w:tblW w:w="0" w:type="auto"/>
        <w:jc w:val="center"/>
        <w:tblLook w:val="0600" w:firstRow="0" w:lastRow="0" w:firstColumn="0" w:lastColumn="0" w:noHBand="1" w:noVBand="1"/>
      </w:tblPr>
      <w:tblGrid>
        <w:gridCol w:w="2780"/>
        <w:gridCol w:w="959"/>
        <w:gridCol w:w="812"/>
        <w:gridCol w:w="494"/>
        <w:gridCol w:w="1203"/>
      </w:tblGrid>
      <w:tr w:rsidR="001B1B29" w:rsidTr="005B4C71">
        <w:trPr>
          <w:jc w:val="center"/>
        </w:trPr>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pP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rPr>
            </w:pPr>
            <w:r>
              <w:rPr>
                <w:b/>
                <w:sz w:val="24"/>
                <w:szCs w:val="24"/>
              </w:rPr>
              <w:t>𝛽</w:t>
            </w:r>
            <w:r>
              <w:rPr>
                <w:b/>
                <w:i/>
                <w:sz w:val="24"/>
                <w:szCs w:val="24"/>
              </w:rPr>
              <w:t>(</w:t>
            </w:r>
            <w:r>
              <w:rPr>
                <w:b/>
              </w:rPr>
              <w:t>SE)</w:t>
            </w: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i/>
              </w:rPr>
            </w:pPr>
            <w:r>
              <w:rPr>
                <w:b/>
                <w:i/>
              </w:rPr>
              <w:t>T</w:t>
            </w: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rPr>
            </w:pPr>
            <w:r>
              <w:rPr>
                <w:b/>
              </w:rPr>
              <w:t>DF</w:t>
            </w: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i/>
              </w:rPr>
            </w:pPr>
            <w:r>
              <w:rPr>
                <w:b/>
                <w:i/>
              </w:rPr>
              <w:t xml:space="preserve">p </w:t>
            </w:r>
          </w:p>
        </w:tc>
      </w:tr>
      <w:tr w:rsidR="001B1B29" w:rsidTr="005B4C71">
        <w:trPr>
          <w:jc w:val="center"/>
        </w:trPr>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rPr>
            </w:pPr>
            <w:r>
              <w:rPr>
                <w:b/>
              </w:rPr>
              <w:t>Transition type</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.10(.02)</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3.9</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73</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spacing w:line="360" w:lineRule="auto"/>
              <w:jc w:val="center"/>
              <w:rPr>
                <w:highlight w:val="yellow"/>
              </w:rPr>
            </w:pPr>
            <w:r>
              <w:t>.0001***</w:t>
            </w:r>
          </w:p>
        </w:tc>
      </w:tr>
      <w:tr w:rsidR="001B1B29" w:rsidTr="005B4C71">
        <w:trPr>
          <w:jc w:val="center"/>
        </w:trPr>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rPr>
            </w:pPr>
            <w:r>
              <w:rPr>
                <w:b/>
              </w:rPr>
              <w:t>Reward</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.64(.04)</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 xml:space="preserve"> 14.38</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73</w:t>
            </w:r>
          </w:p>
        </w:tc>
        <w:tc>
          <w:tcPr>
            <w:tcW w:w="0" w:type="auto"/>
            <w:shd w:val="clear" w:color="auto" w:fill="FFFFFF"/>
            <w:tcMar>
              <w:top w:w="100" w:type="dxa"/>
              <w:left w:w="100" w:type="dxa"/>
              <w:bottom w:w="100" w:type="dxa"/>
              <w:right w:w="100" w:type="dxa"/>
            </w:tcMar>
          </w:tcPr>
          <w:p w:rsidR="001B1B29" w:rsidRDefault="001B1B29" w:rsidP="005B4C71">
            <w:pPr>
              <w:spacing w:line="360" w:lineRule="auto"/>
              <w:jc w:val="center"/>
              <w:rPr>
                <w:highlight w:val="yellow"/>
              </w:rPr>
            </w:pPr>
            <w:r>
              <w:t>2.9e-05***</w:t>
            </w:r>
          </w:p>
        </w:tc>
      </w:tr>
      <w:tr w:rsidR="001B1B29" w:rsidTr="005B4C71">
        <w:trPr>
          <w:jc w:val="center"/>
        </w:trPr>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rPr>
                <w:b/>
              </w:rPr>
            </w:pPr>
            <w:r>
              <w:rPr>
                <w:b/>
              </w:rPr>
              <w:t>Transition type * Reward</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 xml:space="preserve">.42(.04) </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 xml:space="preserve"> 9.17</w:t>
            </w:r>
          </w:p>
        </w:tc>
        <w:tc>
          <w:tcPr>
            <w:tcW w:w="0" w:type="auto"/>
            <w:shd w:val="clear" w:color="auto" w:fill="FFFFFF"/>
            <w:tcMar>
              <w:top w:w="100" w:type="dxa"/>
              <w:left w:w="100" w:type="dxa"/>
              <w:bottom w:w="100" w:type="dxa"/>
              <w:right w:w="100" w:type="dxa"/>
            </w:tcMar>
          </w:tcPr>
          <w:p w:rsidR="001B1B29" w:rsidRDefault="001B1B29" w:rsidP="005B4C71">
            <w:pPr>
              <w:widowControl w:val="0"/>
              <w:spacing w:line="360" w:lineRule="auto"/>
              <w:jc w:val="center"/>
            </w:pPr>
            <w:r>
              <w:t>73</w:t>
            </w:r>
          </w:p>
        </w:tc>
        <w:tc>
          <w:tcPr>
            <w:tcW w:w="0" w:type="auto"/>
            <w:shd w:val="clear" w:color="auto" w:fill="FFFFFF"/>
            <w:tcMar>
              <w:top w:w="100" w:type="dxa"/>
              <w:left w:w="100" w:type="dxa"/>
              <w:bottom w:w="100" w:type="dxa"/>
              <w:right w:w="100" w:type="dxa"/>
            </w:tcMar>
          </w:tcPr>
          <w:p w:rsidR="001B1B29" w:rsidRDefault="001B1B29" w:rsidP="005B4C71">
            <w:pPr>
              <w:spacing w:line="360" w:lineRule="auto"/>
              <w:jc w:val="center"/>
            </w:pPr>
            <w:r>
              <w:t>1.5e-20***</w:t>
            </w:r>
          </w:p>
        </w:tc>
      </w:tr>
    </w:tbl>
    <w:p w:rsidR="001B1B29" w:rsidRDefault="001B1B29" w:rsidP="001B1B29">
      <w:pPr>
        <w:spacing w:line="240" w:lineRule="auto"/>
        <w:jc w:val="both"/>
        <w:rPr>
          <w:sz w:val="20"/>
          <w:szCs w:val="20"/>
        </w:rPr>
      </w:pPr>
      <w:r>
        <w:rPr>
          <w:b/>
          <w:sz w:val="20"/>
          <w:szCs w:val="20"/>
        </w:rPr>
        <w:t>Table S1.</w:t>
      </w:r>
      <w:r>
        <w:rPr>
          <w:sz w:val="20"/>
          <w:szCs w:val="20"/>
        </w:rPr>
        <w:t xml:space="preserve"> </w:t>
      </w:r>
      <w:r>
        <w:rPr>
          <w:b/>
          <w:i/>
          <w:sz w:val="20"/>
          <w:szCs w:val="20"/>
          <w:highlight w:val="white"/>
        </w:rPr>
        <w:t xml:space="preserve">Modeling 1st-stage choices in the RL task as a function of model-free and model-based learning. </w:t>
      </w:r>
      <w:r>
        <w:rPr>
          <w:sz w:val="20"/>
          <w:szCs w:val="20"/>
          <w:highlight w:val="white"/>
        </w:rPr>
        <w:t>Model statistics refer to the coefficients of the fixed main effect of reward, transition type and the reward-by-transition type interaction from the following model:</w:t>
      </w:r>
      <w:r>
        <w:rPr>
          <w:i/>
          <w:sz w:val="20"/>
          <w:szCs w:val="20"/>
        </w:rPr>
        <w:t xml:space="preserve"> </w:t>
      </w:r>
      <w:r>
        <w:rPr>
          <w:sz w:val="20"/>
          <w:szCs w:val="20"/>
          <w:highlight w:val="white"/>
        </w:rPr>
        <w:t xml:space="preserve"> </w:t>
      </w:r>
      <w:r>
        <w:rPr>
          <w:i/>
          <w:sz w:val="20"/>
          <w:szCs w:val="20"/>
        </w:rPr>
        <w:t>Stay ~ Reward × Transition type + (1 + Reward × Transition type | Participant)</w:t>
      </w:r>
      <w:r>
        <w:rPr>
          <w:sz w:val="20"/>
          <w:szCs w:val="20"/>
          <w:highlight w:val="white"/>
        </w:rPr>
        <w:t xml:space="preserve">. Here (SE) indicates the standard error of the mean (*p&lt;.05; **p&lt;.01; ***p&lt;.001). </w:t>
      </w:r>
      <w:r>
        <w:rPr>
          <w:sz w:val="20"/>
          <w:szCs w:val="20"/>
        </w:rPr>
        <w:t>Participants exhibit a mixture of model-free and model-based strategies, as shown by the significant main effect of reward and a reward-by-transition type interaction.</w:t>
      </w: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tbl>
      <w:tblPr>
        <w:tblW w:w="0" w:type="auto"/>
        <w:tblLook w:val="0600" w:firstRow="0" w:lastRow="0" w:firstColumn="0" w:lastColumn="0" w:noHBand="1" w:noVBand="1"/>
      </w:tblPr>
      <w:tblGrid>
        <w:gridCol w:w="2707"/>
        <w:gridCol w:w="1020"/>
        <w:gridCol w:w="690"/>
        <w:gridCol w:w="494"/>
        <w:gridCol w:w="1326"/>
      </w:tblGrid>
      <w:tr w:rsidR="001B1B29" w:rsidTr="005B4C71">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jc w:val="center"/>
            </w:pP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jc w:val="center"/>
            </w:pPr>
            <w:r>
              <w:rPr>
                <w:b/>
                <w:sz w:val="24"/>
                <w:szCs w:val="24"/>
              </w:rPr>
              <w:t>𝛽</w:t>
            </w:r>
            <w:r>
              <w:rPr>
                <w:b/>
                <w:i/>
                <w:sz w:val="24"/>
                <w:szCs w:val="24"/>
              </w:rPr>
              <w:t>(</w:t>
            </w:r>
            <w:r>
              <w:rPr>
                <w:b/>
              </w:rPr>
              <w:t>SE)</w:t>
            </w: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rPr>
                <w:b/>
                <w:i/>
              </w:rPr>
            </w:pPr>
            <w:r>
              <w:rPr>
                <w:b/>
                <w:i/>
              </w:rPr>
              <w:t>T</w:t>
            </w: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jc w:val="center"/>
            </w:pPr>
            <w:r>
              <w:rPr>
                <w:b/>
              </w:rPr>
              <w:t>DF</w:t>
            </w:r>
          </w:p>
        </w:tc>
        <w:tc>
          <w:tcPr>
            <w:tcW w:w="0" w:type="auto"/>
            <w:tcBorders>
              <w:top w:val="single" w:sz="18" w:space="0" w:color="000000"/>
              <w:bottom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rPr>
                <w:b/>
                <w:i/>
              </w:rPr>
            </w:pPr>
            <w:r>
              <w:rPr>
                <w:b/>
                <w:i/>
              </w:rPr>
              <w:t>p</w:t>
            </w:r>
          </w:p>
        </w:tc>
      </w:tr>
      <w:tr w:rsidR="001B1B29" w:rsidTr="005B4C71">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rPr>
                <w:b/>
              </w:rPr>
            </w:pPr>
            <w:r>
              <w:rPr>
                <w:b/>
              </w:rPr>
              <w:t>Estimated shortest path</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pPr>
            <w:r>
              <w:t>.42(.05)</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pPr>
            <w:r>
              <w:t>7.81</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pPr>
            <w:r>
              <w:t>74</w:t>
            </w:r>
          </w:p>
        </w:tc>
        <w:tc>
          <w:tcPr>
            <w:tcW w:w="0" w:type="auto"/>
            <w:tcBorders>
              <w:top w:val="single" w:sz="18" w:space="0" w:color="000000"/>
            </w:tcBorders>
            <w:shd w:val="clear" w:color="auto" w:fill="FFFFFF"/>
            <w:tcMar>
              <w:top w:w="100" w:type="dxa"/>
              <w:left w:w="100" w:type="dxa"/>
              <w:bottom w:w="100" w:type="dxa"/>
              <w:right w:w="100" w:type="dxa"/>
            </w:tcMar>
          </w:tcPr>
          <w:p w:rsidR="001B1B29" w:rsidRDefault="001B1B29" w:rsidP="005B4C71">
            <w:pPr>
              <w:widowControl w:val="0"/>
              <w:jc w:val="center"/>
            </w:pPr>
            <w:r>
              <w:t xml:space="preserve">5.63e-11***  </w:t>
            </w:r>
          </w:p>
        </w:tc>
      </w:tr>
      <w:tr w:rsidR="001B1B29" w:rsidTr="005B4C71">
        <w:trPr>
          <w:trHeight w:val="820"/>
        </w:trPr>
        <w:tc>
          <w:tcPr>
            <w:tcW w:w="0" w:type="auto"/>
            <w:shd w:val="clear" w:color="auto" w:fill="FFFFFF"/>
            <w:tcMar>
              <w:top w:w="100" w:type="dxa"/>
              <w:left w:w="100" w:type="dxa"/>
              <w:bottom w:w="100" w:type="dxa"/>
              <w:right w:w="100" w:type="dxa"/>
            </w:tcMar>
          </w:tcPr>
          <w:p w:rsidR="001B1B29" w:rsidRDefault="001B1B29" w:rsidP="005B4C71">
            <w:pPr>
              <w:widowControl w:val="0"/>
              <w:jc w:val="center"/>
              <w:rPr>
                <w:b/>
              </w:rPr>
            </w:pPr>
            <w:r>
              <w:rPr>
                <w:b/>
              </w:rPr>
              <w:t>Euclidean/</w:t>
            </w:r>
          </w:p>
          <w:p w:rsidR="001B1B29" w:rsidRDefault="001B1B29" w:rsidP="005B4C71">
            <w:pPr>
              <w:widowControl w:val="0"/>
              <w:jc w:val="center"/>
              <w:rPr>
                <w:b/>
              </w:rPr>
            </w:pPr>
            <w:r>
              <w:rPr>
                <w:b/>
              </w:rPr>
              <w:t>distance</w:t>
            </w:r>
          </w:p>
        </w:tc>
        <w:tc>
          <w:tcPr>
            <w:tcW w:w="0" w:type="auto"/>
            <w:shd w:val="clear" w:color="auto" w:fill="FFFFFF"/>
            <w:tcMar>
              <w:top w:w="100" w:type="dxa"/>
              <w:left w:w="100" w:type="dxa"/>
              <w:bottom w:w="100" w:type="dxa"/>
              <w:right w:w="100" w:type="dxa"/>
            </w:tcMar>
          </w:tcPr>
          <w:p w:rsidR="001B1B29" w:rsidRDefault="001B1B29" w:rsidP="005B4C71">
            <w:pPr>
              <w:widowControl w:val="0"/>
              <w:jc w:val="center"/>
            </w:pPr>
            <w:r>
              <w:t xml:space="preserve"> .22(.02)</w:t>
            </w:r>
          </w:p>
        </w:tc>
        <w:tc>
          <w:tcPr>
            <w:tcW w:w="0" w:type="auto"/>
            <w:shd w:val="clear" w:color="auto" w:fill="FFFFFF"/>
            <w:tcMar>
              <w:top w:w="100" w:type="dxa"/>
              <w:left w:w="100" w:type="dxa"/>
              <w:bottom w:w="100" w:type="dxa"/>
              <w:right w:w="100" w:type="dxa"/>
            </w:tcMar>
          </w:tcPr>
          <w:p w:rsidR="001B1B29" w:rsidRDefault="001B1B29" w:rsidP="005B4C71">
            <w:pPr>
              <w:widowControl w:val="0"/>
              <w:jc w:val="center"/>
            </w:pPr>
            <w:r>
              <w:t xml:space="preserve"> 8.36 </w:t>
            </w:r>
          </w:p>
        </w:tc>
        <w:tc>
          <w:tcPr>
            <w:tcW w:w="0" w:type="auto"/>
            <w:shd w:val="clear" w:color="auto" w:fill="FFFFFF"/>
            <w:tcMar>
              <w:top w:w="100" w:type="dxa"/>
              <w:left w:w="100" w:type="dxa"/>
              <w:bottom w:w="100" w:type="dxa"/>
              <w:right w:w="100" w:type="dxa"/>
            </w:tcMar>
          </w:tcPr>
          <w:p w:rsidR="001B1B29" w:rsidRDefault="001B1B29" w:rsidP="005B4C71">
            <w:pPr>
              <w:widowControl w:val="0"/>
              <w:jc w:val="center"/>
            </w:pPr>
            <w:r>
              <w:t>74</w:t>
            </w:r>
          </w:p>
        </w:tc>
        <w:tc>
          <w:tcPr>
            <w:tcW w:w="0" w:type="auto"/>
            <w:shd w:val="clear" w:color="auto" w:fill="auto"/>
            <w:tcMar>
              <w:top w:w="100" w:type="dxa"/>
              <w:left w:w="100" w:type="dxa"/>
              <w:bottom w:w="100" w:type="dxa"/>
              <w:right w:w="100" w:type="dxa"/>
            </w:tcMar>
          </w:tcPr>
          <w:p w:rsidR="001B1B29" w:rsidRDefault="001B1B29" w:rsidP="005B4C71">
            <w:pPr>
              <w:widowControl w:val="0"/>
              <w:jc w:val="center"/>
            </w:pPr>
            <w:r>
              <w:t>1.22e-11***</w:t>
            </w:r>
          </w:p>
          <w:p w:rsidR="001B1B29" w:rsidRDefault="001B1B29" w:rsidP="005B4C71">
            <w:pPr>
              <w:widowControl w:val="0"/>
              <w:jc w:val="center"/>
            </w:pPr>
          </w:p>
        </w:tc>
      </w:tr>
    </w:tbl>
    <w:p w:rsidR="001B1B29" w:rsidRDefault="001B1B29" w:rsidP="001B1B29">
      <w:pPr>
        <w:spacing w:line="240" w:lineRule="auto"/>
        <w:jc w:val="both"/>
        <w:rPr>
          <w:b/>
        </w:rPr>
      </w:pPr>
      <w:r>
        <w:rPr>
          <w:b/>
          <w:sz w:val="20"/>
          <w:szCs w:val="20"/>
        </w:rPr>
        <w:t>Table S2.</w:t>
      </w:r>
      <w:r>
        <w:rPr>
          <w:sz w:val="20"/>
          <w:szCs w:val="20"/>
        </w:rPr>
        <w:t xml:space="preserve"> Predicting ground truth distance with Euclidean distance, controlling for reported shortest path. The Euclidean distance (estimated distance) predicts the ground truth distance over and above the reported shortest path. This suggests that the estimated distance model was not predictive of the ground truth simply as a function of edge connections participants drew during the reconstruction. DF here refers to Satterthwaite degrees of freedom approximation. </w:t>
      </w:r>
      <w:r>
        <w:rPr>
          <w:sz w:val="20"/>
          <w:szCs w:val="20"/>
          <w:highlight w:val="white"/>
        </w:rPr>
        <w:t xml:space="preserve"> (*p&lt;.05; **p&lt;.01; ***p&lt;.001).</w:t>
      </w:r>
    </w:p>
    <w:p w:rsidR="001B1B29" w:rsidRDefault="001B1B29" w:rsidP="001B1B29">
      <w:pPr>
        <w:spacing w:line="240" w:lineRule="auto"/>
        <w:jc w:val="both"/>
        <w:rPr>
          <w:sz w:val="20"/>
          <w:szCs w:val="20"/>
        </w:rPr>
      </w:pPr>
    </w:p>
    <w:p w:rsidR="001B1B29" w:rsidRDefault="001B1B29" w:rsidP="001B1B29">
      <w:pPr>
        <w:spacing w:line="360" w:lineRule="auto"/>
        <w:jc w:val="both"/>
        <w:rPr>
          <w:b/>
        </w:rPr>
      </w:pPr>
    </w:p>
    <w:p w:rsidR="001B1B29" w:rsidRDefault="001B1B29" w:rsidP="001B1B29">
      <w:pPr>
        <w:spacing w:line="360" w:lineRule="auto"/>
        <w:jc w:val="both"/>
      </w:pPr>
    </w:p>
    <w:p w:rsidR="001B1B29" w:rsidRDefault="001B1B29" w:rsidP="001B1B29">
      <w:pPr>
        <w:spacing w:line="360" w:lineRule="auto"/>
        <w:jc w:val="both"/>
      </w:pPr>
    </w:p>
    <w:p w:rsidR="001B1B29" w:rsidRDefault="001B1B29" w:rsidP="001B1B29">
      <w:pPr>
        <w:spacing w:line="360" w:lineRule="auto"/>
        <w:jc w:val="both"/>
      </w:pPr>
    </w:p>
    <w:tbl>
      <w:tblPr>
        <w:tblW w:w="0" w:type="auto"/>
        <w:tblBorders>
          <w:top w:val="nil"/>
          <w:left w:val="nil"/>
          <w:bottom w:val="nil"/>
          <w:right w:val="nil"/>
          <w:insideH w:val="nil"/>
          <w:insideV w:val="nil"/>
        </w:tblBorders>
        <w:tblLook w:val="0600" w:firstRow="0" w:lastRow="0" w:firstColumn="0" w:lastColumn="0" w:noHBand="1" w:noVBand="1"/>
      </w:tblPr>
      <w:tblGrid>
        <w:gridCol w:w="4748"/>
        <w:gridCol w:w="1032"/>
        <w:gridCol w:w="629"/>
        <w:gridCol w:w="494"/>
        <w:gridCol w:w="678"/>
      </w:tblGrid>
      <w:tr w:rsidR="001B1B29" w:rsidTr="005B4C71">
        <w:trPr>
          <w:trHeight w:val="540"/>
        </w:trPr>
        <w:tc>
          <w:tcPr>
            <w:tcW w:w="0" w:type="auto"/>
            <w:tcBorders>
              <w:top w:val="single" w:sz="18" w:space="0" w:color="000000"/>
              <w:left w:val="nil"/>
              <w:bottom w:val="single" w:sz="18" w:space="0" w:color="000000"/>
              <w:right w:val="nil"/>
            </w:tcBorders>
            <w:shd w:val="clear" w:color="auto" w:fill="FFFFFF"/>
            <w:tcMar>
              <w:top w:w="100" w:type="dxa"/>
              <w:left w:w="100" w:type="dxa"/>
              <w:bottom w:w="100" w:type="dxa"/>
              <w:right w:w="100" w:type="dxa"/>
            </w:tcMar>
          </w:tcPr>
          <w:p w:rsidR="001B1B29" w:rsidRDefault="001B1B29" w:rsidP="005B4C71">
            <w:pPr>
              <w:spacing w:line="360" w:lineRule="auto"/>
              <w:jc w:val="both"/>
            </w:pPr>
          </w:p>
        </w:tc>
        <w:tc>
          <w:tcPr>
            <w:tcW w:w="0" w:type="auto"/>
            <w:tcBorders>
              <w:top w:val="single" w:sz="18" w:space="0" w:color="000000"/>
              <w:left w:val="nil"/>
              <w:bottom w:val="single" w:sz="18" w:space="0" w:color="000000"/>
              <w:right w:val="nil"/>
            </w:tcBorders>
            <w:shd w:val="clear" w:color="auto" w:fill="FFFFFF"/>
            <w:tcMar>
              <w:top w:w="100" w:type="dxa"/>
              <w:left w:w="100" w:type="dxa"/>
              <w:bottom w:w="100" w:type="dxa"/>
              <w:right w:w="100" w:type="dxa"/>
            </w:tcMar>
          </w:tcPr>
          <w:p w:rsidR="001B1B29" w:rsidRDefault="001B1B29" w:rsidP="005B4C71">
            <w:pPr>
              <w:spacing w:line="360" w:lineRule="auto"/>
              <w:jc w:val="center"/>
              <w:rPr>
                <w:b/>
              </w:rPr>
            </w:pPr>
            <w:r>
              <w:rPr>
                <w:b/>
                <w:sz w:val="24"/>
                <w:szCs w:val="24"/>
              </w:rPr>
              <w:t>𝛽</w:t>
            </w:r>
            <w:r>
              <w:rPr>
                <w:b/>
                <w:i/>
                <w:sz w:val="24"/>
                <w:szCs w:val="24"/>
              </w:rPr>
              <w:t>(</w:t>
            </w:r>
            <w:r>
              <w:rPr>
                <w:b/>
              </w:rPr>
              <w:t>SE)</w:t>
            </w:r>
          </w:p>
        </w:tc>
        <w:tc>
          <w:tcPr>
            <w:tcW w:w="0" w:type="auto"/>
            <w:tcBorders>
              <w:top w:val="single" w:sz="18" w:space="0" w:color="000000"/>
              <w:left w:val="nil"/>
              <w:bottom w:val="single" w:sz="18" w:space="0" w:color="000000"/>
              <w:right w:val="nil"/>
            </w:tcBorders>
            <w:shd w:val="clear" w:color="auto" w:fill="FFFFFF"/>
            <w:tcMar>
              <w:top w:w="100" w:type="dxa"/>
              <w:left w:w="100" w:type="dxa"/>
              <w:bottom w:w="100" w:type="dxa"/>
              <w:right w:w="100" w:type="dxa"/>
            </w:tcMar>
          </w:tcPr>
          <w:p w:rsidR="001B1B29" w:rsidRDefault="001B1B29" w:rsidP="005B4C71">
            <w:pPr>
              <w:spacing w:line="360" w:lineRule="auto"/>
              <w:jc w:val="center"/>
              <w:rPr>
                <w:b/>
                <w:i/>
              </w:rPr>
            </w:pPr>
            <w:r>
              <w:rPr>
                <w:b/>
                <w:i/>
              </w:rPr>
              <w:t>T</w:t>
            </w:r>
          </w:p>
        </w:tc>
        <w:tc>
          <w:tcPr>
            <w:tcW w:w="0" w:type="auto"/>
            <w:tcBorders>
              <w:top w:val="single" w:sz="18" w:space="0" w:color="000000"/>
              <w:left w:val="nil"/>
              <w:bottom w:val="single" w:sz="18" w:space="0" w:color="000000"/>
              <w:right w:val="nil"/>
            </w:tcBorders>
            <w:shd w:val="clear" w:color="auto" w:fill="FFFFFF"/>
            <w:tcMar>
              <w:top w:w="100" w:type="dxa"/>
              <w:left w:w="100" w:type="dxa"/>
              <w:bottom w:w="100" w:type="dxa"/>
              <w:right w:w="100" w:type="dxa"/>
            </w:tcMar>
          </w:tcPr>
          <w:p w:rsidR="001B1B29" w:rsidRDefault="001B1B29" w:rsidP="005B4C71">
            <w:pPr>
              <w:spacing w:line="360" w:lineRule="auto"/>
              <w:jc w:val="center"/>
              <w:rPr>
                <w:b/>
              </w:rPr>
            </w:pPr>
            <w:r>
              <w:rPr>
                <w:b/>
              </w:rPr>
              <w:t>DF</w:t>
            </w:r>
          </w:p>
        </w:tc>
        <w:tc>
          <w:tcPr>
            <w:tcW w:w="0" w:type="auto"/>
            <w:tcBorders>
              <w:top w:val="single" w:sz="18" w:space="0" w:color="000000"/>
              <w:left w:val="nil"/>
              <w:bottom w:val="single" w:sz="18" w:space="0" w:color="000000"/>
              <w:right w:val="nil"/>
            </w:tcBorders>
            <w:shd w:val="clear" w:color="auto" w:fill="FFFFFF"/>
            <w:tcMar>
              <w:top w:w="100" w:type="dxa"/>
              <w:left w:w="100" w:type="dxa"/>
              <w:bottom w:w="100" w:type="dxa"/>
              <w:right w:w="100" w:type="dxa"/>
            </w:tcMar>
          </w:tcPr>
          <w:p w:rsidR="001B1B29" w:rsidRDefault="001B1B29" w:rsidP="005B4C71">
            <w:pPr>
              <w:spacing w:line="360" w:lineRule="auto"/>
              <w:jc w:val="center"/>
              <w:rPr>
                <w:b/>
                <w:i/>
              </w:rPr>
            </w:pPr>
            <w:r>
              <w:rPr>
                <w:b/>
                <w:i/>
              </w:rPr>
              <w:t>p</w:t>
            </w:r>
          </w:p>
        </w:tc>
      </w:tr>
      <w:tr w:rsidR="001B1B29" w:rsidTr="005B4C71">
        <w:trPr>
          <w:trHeight w:val="520"/>
        </w:trPr>
        <w:tc>
          <w:tcPr>
            <w:tcW w:w="0" w:type="auto"/>
            <w:tcBorders>
              <w:top w:val="single" w:sz="18" w:space="0" w:color="000000"/>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both"/>
              <w:rPr>
                <w:b/>
              </w:rPr>
            </w:pPr>
            <w:r>
              <w:rPr>
                <w:b/>
              </w:rPr>
              <w:t>Model-based term random effects</w:t>
            </w:r>
          </w:p>
        </w:tc>
        <w:tc>
          <w:tcPr>
            <w:tcW w:w="0" w:type="auto"/>
            <w:tcBorders>
              <w:top w:val="single" w:sz="18" w:space="0" w:color="000000"/>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.49(.22)</w:t>
            </w:r>
          </w:p>
        </w:tc>
        <w:tc>
          <w:tcPr>
            <w:tcW w:w="0" w:type="auto"/>
            <w:tcBorders>
              <w:top w:val="single" w:sz="18" w:space="0" w:color="000000"/>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2.19</w:t>
            </w:r>
          </w:p>
        </w:tc>
        <w:tc>
          <w:tcPr>
            <w:tcW w:w="0" w:type="auto"/>
            <w:tcBorders>
              <w:top w:val="single" w:sz="18" w:space="0" w:color="000000"/>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72</w:t>
            </w:r>
          </w:p>
        </w:tc>
        <w:tc>
          <w:tcPr>
            <w:tcW w:w="0" w:type="auto"/>
            <w:tcBorders>
              <w:top w:val="single" w:sz="18" w:space="0" w:color="000000"/>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.03**</w:t>
            </w:r>
          </w:p>
        </w:tc>
      </w:tr>
      <w:tr w:rsidR="001B1B29" w:rsidTr="005B4C71">
        <w:trPr>
          <w:trHeight w:val="500"/>
        </w:trPr>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both"/>
              <w:rPr>
                <w:b/>
              </w:rPr>
            </w:pPr>
            <w:r>
              <w:rPr>
                <w:b/>
              </w:rPr>
              <w:t>Perseveration percentage</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-.11(.14)</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-.80</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72</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.42</w:t>
            </w:r>
          </w:p>
        </w:tc>
      </w:tr>
      <w:tr w:rsidR="001B1B29" w:rsidTr="005B4C71">
        <w:trPr>
          <w:trHeight w:val="500"/>
        </w:trPr>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both"/>
              <w:rPr>
                <w:b/>
              </w:rPr>
            </w:pPr>
            <w:r>
              <w:rPr>
                <w:b/>
              </w:rPr>
              <w:lastRenderedPageBreak/>
              <w:t>Model-free term random effects</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-.04(.23)</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-.17</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72</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.86</w:t>
            </w:r>
          </w:p>
        </w:tc>
      </w:tr>
      <w:tr w:rsidR="001B1B29" w:rsidTr="005B4C71">
        <w:trPr>
          <w:trHeight w:val="840"/>
        </w:trPr>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both"/>
              <w:rPr>
                <w:b/>
              </w:rPr>
            </w:pPr>
            <w:r>
              <w:rPr>
                <w:b/>
              </w:rPr>
              <w:t>Post-rare transition slowing random effects</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.06(.11)</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.55</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72</w:t>
            </w:r>
          </w:p>
        </w:tc>
        <w:tc>
          <w:tcPr>
            <w:tcW w:w="0" w:type="auto"/>
            <w:tcBorders>
              <w:top w:val="nil"/>
              <w:left w:val="nil"/>
              <w:bottom w:val="nil"/>
              <w:right w:val="nil"/>
            </w:tcBorders>
            <w:shd w:val="clear" w:color="auto" w:fill="FFFFFF"/>
            <w:tcMar>
              <w:top w:w="100" w:type="dxa"/>
              <w:left w:w="100" w:type="dxa"/>
              <w:bottom w:w="100" w:type="dxa"/>
              <w:right w:w="100" w:type="dxa"/>
            </w:tcMar>
          </w:tcPr>
          <w:p w:rsidR="001B1B29" w:rsidRDefault="001B1B29" w:rsidP="005B4C71">
            <w:pPr>
              <w:spacing w:line="360" w:lineRule="auto"/>
              <w:jc w:val="center"/>
            </w:pPr>
            <w:r>
              <w:t>.57</w:t>
            </w:r>
          </w:p>
        </w:tc>
      </w:tr>
    </w:tbl>
    <w:p w:rsidR="001B1B29" w:rsidRDefault="001B1B29" w:rsidP="001B1B29">
      <w:pPr>
        <w:spacing w:line="240" w:lineRule="auto"/>
        <w:jc w:val="both"/>
        <w:rPr>
          <w:sz w:val="20"/>
          <w:szCs w:val="20"/>
        </w:rPr>
      </w:pPr>
      <w:r>
        <w:rPr>
          <w:b/>
          <w:sz w:val="20"/>
          <w:szCs w:val="20"/>
        </w:rPr>
        <w:t xml:space="preserve">Table S3. </w:t>
      </w:r>
      <w:r>
        <w:rPr>
          <w:sz w:val="20"/>
          <w:szCs w:val="20"/>
        </w:rPr>
        <w:t xml:space="preserve">Robust linear regression model predicting PC scores (latent component indexing structure inference) using different indices from the two-step task (percentage of perseverative response, model-free random effects, model-based random effects and post-rare transition slowing). Index of model-based planning is selectively significantly associated with the measure of structure inference. The beta coefficients here are estimated effect coefficients, SE is standard error of the mean. DF refers to error degrees of freedom. Positive terms indicate positive association with the structure inference measure </w:t>
      </w:r>
      <w:r>
        <w:rPr>
          <w:sz w:val="20"/>
          <w:szCs w:val="20"/>
          <w:highlight w:val="white"/>
        </w:rPr>
        <w:t>(*p&lt;.05; **p&lt;.01; ***p&lt;.001)</w:t>
      </w:r>
      <w:r>
        <w:rPr>
          <w:sz w:val="20"/>
          <w:szCs w:val="20"/>
        </w:rPr>
        <w:t>.</w:t>
      </w:r>
    </w:p>
    <w:p w:rsidR="001B1B29" w:rsidRDefault="001B1B29" w:rsidP="001B1B29">
      <w:pPr>
        <w:spacing w:line="360" w:lineRule="auto"/>
        <w:jc w:val="both"/>
      </w:pPr>
    </w:p>
    <w:p w:rsidR="001B1B29" w:rsidRDefault="001B1B29" w:rsidP="001B1B29">
      <w:pPr>
        <w:spacing w:line="360" w:lineRule="auto"/>
        <w:jc w:val="both"/>
      </w:pPr>
    </w:p>
    <w:tbl>
      <w:tblPr>
        <w:tblW w:w="0" w:type="auto"/>
        <w:tblInd w:w="595" w:type="dxa"/>
        <w:tblLook w:val="0600" w:firstRow="0" w:lastRow="0" w:firstColumn="0" w:lastColumn="0" w:noHBand="1" w:noVBand="1"/>
      </w:tblPr>
      <w:tblGrid>
        <w:gridCol w:w="1729"/>
        <w:gridCol w:w="1020"/>
        <w:gridCol w:w="629"/>
        <w:gridCol w:w="494"/>
        <w:gridCol w:w="800"/>
      </w:tblGrid>
      <w:tr w:rsidR="001B1B29" w:rsidTr="005B4C71">
        <w:trPr>
          <w:trHeight w:val="380"/>
        </w:trPr>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spacing w:line="360" w:lineRule="auto"/>
              <w:jc w:val="center"/>
              <w:rPr>
                <w:b/>
              </w:rPr>
            </w:pPr>
            <w:r>
              <w:rPr>
                <w:b/>
              </w:rPr>
              <w:t>𝛽</w:t>
            </w:r>
            <w:r>
              <w:rPr>
                <w:b/>
                <w:i/>
              </w:rPr>
              <w:t>(SE)</w:t>
            </w: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i/>
              </w:rPr>
            </w:pPr>
            <w:r>
              <w:rPr>
                <w:b/>
                <w:i/>
              </w:rPr>
              <w:t>T</w:t>
            </w: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rPr>
            </w:pPr>
            <w:r>
              <w:rPr>
                <w:b/>
              </w:rPr>
              <w:t>DF</w:t>
            </w:r>
          </w:p>
        </w:tc>
        <w:tc>
          <w:tcPr>
            <w:tcW w:w="0" w:type="auto"/>
            <w:tcBorders>
              <w:top w:val="single" w:sz="18" w:space="0" w:color="000000"/>
              <w:bottom w:val="single" w:sz="18"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i/>
              </w:rPr>
            </w:pPr>
            <w:r>
              <w:rPr>
                <w:b/>
                <w:i/>
              </w:rPr>
              <w:t>p</w:t>
            </w:r>
          </w:p>
        </w:tc>
      </w:tr>
      <w:tr w:rsidR="001B1B29" w:rsidTr="005B4C71">
        <w:tc>
          <w:tcPr>
            <w:tcW w:w="0" w:type="auto"/>
            <w:tcBorders>
              <w:top w:val="single" w:sz="18" w:space="0" w:color="000000"/>
              <w:bottom w:val="single" w:sz="4"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 xml:space="preserve">Latent structure </w:t>
            </w:r>
          </w:p>
          <w:p w:rsidR="001B1B29" w:rsidRDefault="001B1B29" w:rsidP="005B4C71">
            <w:pPr>
              <w:widowControl w:val="0"/>
              <w:spacing w:line="240" w:lineRule="auto"/>
              <w:jc w:val="center"/>
            </w:pPr>
            <w:r>
              <w:t xml:space="preserve">learning factor </w:t>
            </w:r>
          </w:p>
        </w:tc>
        <w:tc>
          <w:tcPr>
            <w:tcW w:w="0" w:type="auto"/>
            <w:tcBorders>
              <w:top w:val="single" w:sz="18" w:space="0" w:color="000000"/>
              <w:bottom w:val="single" w:sz="4"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.16 (.04)</w:t>
            </w:r>
          </w:p>
        </w:tc>
        <w:tc>
          <w:tcPr>
            <w:tcW w:w="0" w:type="auto"/>
            <w:tcBorders>
              <w:top w:val="single" w:sz="18" w:space="0" w:color="000000"/>
              <w:bottom w:val="single" w:sz="4"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3.35</w:t>
            </w:r>
          </w:p>
        </w:tc>
        <w:tc>
          <w:tcPr>
            <w:tcW w:w="0" w:type="auto"/>
            <w:tcBorders>
              <w:top w:val="single" w:sz="18" w:space="0" w:color="000000"/>
              <w:bottom w:val="single" w:sz="4"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75</w:t>
            </w:r>
          </w:p>
        </w:tc>
        <w:tc>
          <w:tcPr>
            <w:tcW w:w="0" w:type="auto"/>
            <w:tcBorders>
              <w:top w:val="single" w:sz="18" w:space="0" w:color="000000"/>
              <w:bottom w:val="single" w:sz="4" w:space="0" w:color="000000"/>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.001**</w:t>
            </w:r>
          </w:p>
        </w:tc>
      </w:tr>
    </w:tbl>
    <w:p w:rsidR="001B1B29" w:rsidRDefault="001B1B29" w:rsidP="001B1B29">
      <w:pPr>
        <w:spacing w:line="240" w:lineRule="auto"/>
        <w:jc w:val="both"/>
        <w:rPr>
          <w:sz w:val="20"/>
          <w:szCs w:val="20"/>
        </w:rPr>
      </w:pPr>
      <w:r>
        <w:rPr>
          <w:b/>
          <w:sz w:val="20"/>
          <w:szCs w:val="20"/>
          <w:highlight w:val="white"/>
        </w:rPr>
        <w:t xml:space="preserve">Table S4. </w:t>
      </w:r>
      <w:r>
        <w:rPr>
          <w:b/>
          <w:i/>
          <w:sz w:val="20"/>
          <w:szCs w:val="20"/>
          <w:highlight w:val="white"/>
        </w:rPr>
        <w:t xml:space="preserve">Model-based weights from the computational model. </w:t>
      </w:r>
      <w:r>
        <w:rPr>
          <w:sz w:val="20"/>
          <w:szCs w:val="20"/>
        </w:rPr>
        <w:t>The results from the robust linear regression model (</w:t>
      </w:r>
      <w:r>
        <w:rPr>
          <w:i/>
          <w:sz w:val="20"/>
          <w:szCs w:val="20"/>
        </w:rPr>
        <w:t>RL</w:t>
      </w:r>
      <w:r>
        <w:rPr>
          <w:sz w:val="20"/>
          <w:szCs w:val="20"/>
        </w:rPr>
        <w:t xml:space="preserve"> </w:t>
      </w:r>
      <w:r>
        <w:rPr>
          <w:i/>
          <w:sz w:val="20"/>
          <w:szCs w:val="20"/>
        </w:rPr>
        <w:t>Model-based weights ~ 1 + structure inference score</w:t>
      </w:r>
      <w:r>
        <w:rPr>
          <w:sz w:val="20"/>
          <w:szCs w:val="20"/>
        </w:rPr>
        <w:t>)</w:t>
      </w:r>
      <w:r>
        <w:rPr>
          <w:b/>
          <w:sz w:val="20"/>
          <w:szCs w:val="20"/>
        </w:rPr>
        <w:t xml:space="preserve">. </w:t>
      </w:r>
      <w:r>
        <w:rPr>
          <w:sz w:val="20"/>
          <w:szCs w:val="20"/>
        </w:rPr>
        <w:t xml:space="preserve">The predictor in the model was z-scored. The results show that high PC scores (indexing high structure inference performance) predict increased model-based planning. </w:t>
      </w:r>
      <w:r>
        <w:rPr>
          <w:sz w:val="20"/>
          <w:szCs w:val="20"/>
          <w:highlight w:val="white"/>
        </w:rPr>
        <w:t>(*p&lt;.05; **p&lt;.01; ***p&lt;.001).</w:t>
      </w:r>
    </w:p>
    <w:p w:rsidR="001B1B29" w:rsidRDefault="001B1B29" w:rsidP="001B1B29">
      <w:pPr>
        <w:spacing w:line="240" w:lineRule="auto"/>
        <w:jc w:val="both"/>
        <w:rPr>
          <w:sz w:val="20"/>
          <w:szCs w:val="20"/>
          <w:highlight w:val="white"/>
        </w:rPr>
      </w:pPr>
    </w:p>
    <w:p w:rsidR="001B1B29" w:rsidRDefault="001B1B29" w:rsidP="001B1B29">
      <w:pPr>
        <w:spacing w:line="240" w:lineRule="auto"/>
        <w:jc w:val="both"/>
        <w:rPr>
          <w:sz w:val="20"/>
          <w:szCs w:val="20"/>
          <w:highlight w:val="white"/>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600" w:firstRow="0" w:lastRow="0" w:firstColumn="0" w:lastColumn="0" w:noHBand="1" w:noVBand="1"/>
      </w:tblPr>
      <w:tblGrid>
        <w:gridCol w:w="4052"/>
        <w:gridCol w:w="1093"/>
        <w:gridCol w:w="702"/>
        <w:gridCol w:w="494"/>
        <w:gridCol w:w="1130"/>
      </w:tblGrid>
      <w:tr w:rsidR="001B1B29" w:rsidTr="005B4C71">
        <w:trPr>
          <w:trHeight w:val="420"/>
          <w:jc w:val="center"/>
        </w:trPr>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b/>
              </w:rPr>
              <w:t>Structure inference measure</w:t>
            </w:r>
          </w:p>
        </w:tc>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vAlign w:val="center"/>
          </w:tcPr>
          <w:p w:rsidR="001B1B29" w:rsidRDefault="001B1B29" w:rsidP="005B4C71">
            <w:pPr>
              <w:spacing w:line="360" w:lineRule="auto"/>
              <w:jc w:val="center"/>
              <w:rPr>
                <w:highlight w:val="white"/>
              </w:rPr>
            </w:pPr>
            <w:r>
              <w:rPr>
                <w:b/>
              </w:rPr>
              <w:t xml:space="preserve">𝛽 </w:t>
            </w:r>
            <w:r>
              <w:rPr>
                <w:b/>
                <w:i/>
              </w:rPr>
              <w:t>(SE)</w:t>
            </w:r>
          </w:p>
        </w:tc>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i/>
                <w:highlight w:val="white"/>
              </w:rPr>
            </w:pPr>
            <w:r>
              <w:rPr>
                <w:b/>
                <w:i/>
                <w:highlight w:val="white"/>
              </w:rPr>
              <w:t>T</w:t>
            </w:r>
          </w:p>
        </w:tc>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highlight w:val="white"/>
              </w:rPr>
            </w:pPr>
            <w:r>
              <w:rPr>
                <w:b/>
                <w:highlight w:val="white"/>
              </w:rPr>
              <w:t>DF</w:t>
            </w:r>
          </w:p>
        </w:tc>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b/>
                <w:highlight w:val="white"/>
              </w:rPr>
            </w:pPr>
            <w:r>
              <w:rPr>
                <w:b/>
                <w:i/>
                <w:highlight w:val="white"/>
              </w:rPr>
              <w:t>p</w:t>
            </w:r>
          </w:p>
        </w:tc>
      </w:tr>
      <w:tr w:rsidR="001B1B29" w:rsidTr="005B4C71">
        <w:trPr>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Overall distance judgment accuracy</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.14 (.05)</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3.16</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.001**</w:t>
            </w:r>
          </w:p>
        </w:tc>
      </w:tr>
      <w:tr w:rsidR="001B1B29" w:rsidTr="005B4C71">
        <w:trPr>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Judgment accuracy by relative distance</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.16 (.04)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3.60</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.0003***</w:t>
            </w:r>
          </w:p>
        </w:tc>
      </w:tr>
      <w:tr w:rsidR="001B1B29" w:rsidTr="005B4C71">
        <w:trPr>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Response time by total distance</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.13(.04)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2.95</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.003**</w:t>
            </w:r>
          </w:p>
        </w:tc>
      </w:tr>
      <w:tr w:rsidR="001B1B29" w:rsidTr="005B4C71">
        <w:trPr>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Response time by relative distance</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-.16 (.04)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-3.69</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.0002***</w:t>
            </w:r>
          </w:p>
        </w:tc>
      </w:tr>
      <w:tr w:rsidR="001B1B29" w:rsidTr="005B4C71">
        <w:trPr>
          <w:trHeight w:val="460"/>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True vs estimated distance correlation</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.18 (.04)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3.98</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.00008***</w:t>
            </w:r>
          </w:p>
        </w:tc>
      </w:tr>
      <w:tr w:rsidR="001B1B29" w:rsidTr="005B4C71">
        <w:trPr>
          <w:trHeight w:val="460"/>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Edge connection accuracy</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.12 (.04)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2.67</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.007**</w:t>
            </w:r>
          </w:p>
        </w:tc>
      </w:tr>
      <w:tr w:rsidR="001B1B29" w:rsidTr="005B4C71">
        <w:trPr>
          <w:trHeight w:val="540"/>
          <w:jc w:val="center"/>
        </w:trPr>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highlight w:val="white"/>
              </w:rPr>
              <w:t>Latent structure learning factor</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highlight w:val="white"/>
              </w:rPr>
              <w:t>.17(.04)</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highlight w:val="white"/>
              </w:rPr>
              <w:t>3.97</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highlight w:val="white"/>
              </w:rPr>
              <w:t>72</w:t>
            </w:r>
          </w:p>
        </w:tc>
        <w:tc>
          <w:tcPr>
            <w:tcW w:w="0" w:type="auto"/>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rPr>
                <w:highlight w:val="white"/>
              </w:rPr>
            </w:pPr>
            <w:r>
              <w:rPr>
                <w:highlight w:val="white"/>
              </w:rPr>
              <w:t>.00008***</w:t>
            </w:r>
          </w:p>
        </w:tc>
      </w:tr>
    </w:tbl>
    <w:p w:rsidR="001B1B29" w:rsidRDefault="001B1B29" w:rsidP="001B1B29">
      <w:pPr>
        <w:spacing w:line="240" w:lineRule="auto"/>
        <w:jc w:val="both"/>
        <w:rPr>
          <w:b/>
        </w:rPr>
      </w:pPr>
      <w:r>
        <w:rPr>
          <w:b/>
          <w:sz w:val="20"/>
          <w:szCs w:val="20"/>
          <w:highlight w:val="white"/>
        </w:rPr>
        <w:t>Table S5</w:t>
      </w:r>
      <w:r>
        <w:rPr>
          <w:b/>
          <w:i/>
          <w:sz w:val="20"/>
          <w:szCs w:val="20"/>
          <w:highlight w:val="white"/>
        </w:rPr>
        <w:t xml:space="preserve">. Modeling 1st-stage choices in the RL task as a function of structure inference ability and model-based planning. </w:t>
      </w:r>
      <w:r>
        <w:rPr>
          <w:sz w:val="20"/>
          <w:szCs w:val="20"/>
          <w:highlight w:val="white"/>
        </w:rPr>
        <w:t xml:space="preserve">Each row reflects the results from an independent analysis where each covariate (z-transformed) was entered as Z in the following model: </w:t>
      </w:r>
      <w:r>
        <w:rPr>
          <w:i/>
          <w:sz w:val="20"/>
          <w:szCs w:val="20"/>
        </w:rPr>
        <w:t>Stay ~ Reward × Transition × Z + (1 + Reward × Transition | Participant)</w:t>
      </w:r>
      <w:r>
        <w:rPr>
          <w:sz w:val="20"/>
          <w:szCs w:val="20"/>
        </w:rPr>
        <w:t>.</w:t>
      </w:r>
      <w:r>
        <w:rPr>
          <w:sz w:val="20"/>
          <w:szCs w:val="20"/>
          <w:highlight w:val="white"/>
        </w:rPr>
        <w:t xml:space="preserve"> Model statistics refer to the coefficient of the fixed-effects interaction:</w:t>
      </w:r>
      <w:r>
        <w:rPr>
          <w:i/>
          <w:sz w:val="20"/>
          <w:szCs w:val="20"/>
        </w:rPr>
        <w:t xml:space="preserve"> Reward × Transition × Z</w:t>
      </w:r>
      <w:r>
        <w:rPr>
          <w:sz w:val="20"/>
          <w:szCs w:val="20"/>
          <w:highlight w:val="white"/>
        </w:rPr>
        <w:t xml:space="preserve">.  Positive values indicate an association with increased model-based planning Covariates with positive values are associated with increased model-based learning (except for the </w:t>
      </w:r>
      <w:r>
        <w:rPr>
          <w:sz w:val="20"/>
          <w:szCs w:val="20"/>
          <w:highlight w:val="white"/>
        </w:rPr>
        <w:lastRenderedPageBreak/>
        <w:t>response time by relative distance effect). Here (SE) indicates the standard error of the mean. (*p&lt;.05; **p&lt;.01; ***p&lt;.001).</w:t>
      </w: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p w:rsidR="001B1B29" w:rsidRDefault="001B1B29" w:rsidP="001B1B29">
      <w:pPr>
        <w:spacing w:line="360" w:lineRule="auto"/>
        <w:jc w:val="both"/>
        <w:rPr>
          <w:b/>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76"/>
        <w:gridCol w:w="7384"/>
      </w:tblGrid>
      <w:tr w:rsidR="001B1B29" w:rsidTr="005B4C71">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rPr>
                <w:b/>
              </w:rPr>
            </w:pPr>
            <w:r>
              <w:rPr>
                <w:b/>
              </w:rPr>
              <w:t>Performance measure names</w:t>
            </w:r>
          </w:p>
        </w:tc>
        <w:tc>
          <w:tcPr>
            <w:tcW w:w="0" w:type="auto"/>
            <w:tcBorders>
              <w:top w:val="single" w:sz="18" w:space="0" w:color="000000"/>
              <w:left w:val="nil"/>
              <w:bottom w:val="single" w:sz="18" w:space="0" w:color="000000"/>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rPr>
                <w:b/>
              </w:rPr>
            </w:pPr>
            <w:r>
              <w:rPr>
                <w:b/>
              </w:rPr>
              <w:t>Definition</w:t>
            </w:r>
          </w:p>
        </w:tc>
      </w:tr>
      <w:tr w:rsidR="001B1B29" w:rsidTr="005B4C71">
        <w:tc>
          <w:tcPr>
            <w:tcW w:w="0" w:type="auto"/>
            <w:tcBorders>
              <w:top w:val="single" w:sz="18" w:space="0" w:color="000000"/>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 xml:space="preserve">Overall judgment accuracy </w:t>
            </w:r>
          </w:p>
        </w:tc>
        <w:tc>
          <w:tcPr>
            <w:tcW w:w="0" w:type="auto"/>
            <w:tcBorders>
              <w:top w:val="single" w:sz="18" w:space="0" w:color="000000"/>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 xml:space="preserve">Proportion of trials on which participants correctly identified the closer node  </w:t>
            </w:r>
          </w:p>
        </w:tc>
      </w:tr>
      <w:tr w:rsidR="001B1B29" w:rsidTr="005B4C71">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Judgment accuracy by relative distance</w:t>
            </w:r>
          </w:p>
        </w:tc>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The effect of distance discrepancy between the option nodes and the target node on accuracy. Greater distance discrepancy should lead to higher accuracy.</w:t>
            </w:r>
          </w:p>
        </w:tc>
      </w:tr>
      <w:tr w:rsidR="001B1B29" w:rsidTr="005B4C71">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Response time by total distance</w:t>
            </w:r>
          </w:p>
        </w:tc>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rPr>
                <w:b/>
              </w:rPr>
            </w:pPr>
            <w:r>
              <w:t xml:space="preserve">The effect of overall distance of two option nodes to the target on response times. The greater overall distance should lead to longer response times, since participants would need to perform a longer ‘search’ to make their response. </w:t>
            </w:r>
          </w:p>
        </w:tc>
      </w:tr>
      <w:tr w:rsidR="001B1B29" w:rsidTr="005B4C71">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Response time by relative distance</w:t>
            </w:r>
          </w:p>
        </w:tc>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spacing w:line="240" w:lineRule="auto"/>
              <w:jc w:val="center"/>
            </w:pPr>
            <w:r>
              <w:t>The effect of distance discrepancy between the option nodes and the target node on response times. Greater distance discrepancy should lead to faster responses.</w:t>
            </w:r>
          </w:p>
        </w:tc>
      </w:tr>
      <w:tr w:rsidR="001B1B29" w:rsidTr="005B4C71">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True vs estimated distance correlation</w:t>
            </w:r>
          </w:p>
        </w:tc>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 xml:space="preserve">In the edge reconstruction task, we correlated the pairwise node distance given by 1) number of pixels between two node images in the reconstructed graph, and 2) the pairwise shortest path (number of edges) between all nodes in the underlying graph </w:t>
            </w:r>
          </w:p>
        </w:tc>
      </w:tr>
      <w:tr w:rsidR="001B1B29" w:rsidTr="005B4C71">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Edge connection accuracy</w:t>
            </w:r>
          </w:p>
        </w:tc>
        <w:tc>
          <w:tcPr>
            <w:tcW w:w="0" w:type="auto"/>
            <w:tcBorders>
              <w:left w:val="nil"/>
              <w:right w:val="nil"/>
            </w:tcBorders>
            <w:shd w:val="clear" w:color="auto" w:fill="auto"/>
            <w:tcMar>
              <w:top w:w="100" w:type="dxa"/>
              <w:left w:w="100" w:type="dxa"/>
              <w:bottom w:w="100" w:type="dxa"/>
              <w:right w:w="100" w:type="dxa"/>
            </w:tcMar>
          </w:tcPr>
          <w:p w:rsidR="001B1B29" w:rsidRDefault="001B1B29" w:rsidP="005B4C71">
            <w:pPr>
              <w:widowControl w:val="0"/>
              <w:pBdr>
                <w:top w:val="nil"/>
                <w:left w:val="nil"/>
                <w:bottom w:val="nil"/>
                <w:right w:val="nil"/>
                <w:between w:val="nil"/>
              </w:pBdr>
              <w:spacing w:line="240" w:lineRule="auto"/>
              <w:jc w:val="center"/>
            </w:pPr>
            <w:r>
              <w:t>Proportion of correctly identified edges, based on the comparison of node connections in the recovered graph to ground truth adjacency matrix</w:t>
            </w:r>
          </w:p>
        </w:tc>
      </w:tr>
    </w:tbl>
    <w:p w:rsidR="001B1B29" w:rsidRDefault="001B1B29" w:rsidP="001B1B29">
      <w:pPr>
        <w:spacing w:line="360" w:lineRule="auto"/>
        <w:jc w:val="both"/>
        <w:rPr>
          <w:b/>
        </w:rPr>
      </w:pPr>
      <w:r>
        <w:rPr>
          <w:b/>
        </w:rPr>
        <w:t xml:space="preserve">Table S6. </w:t>
      </w:r>
      <w:r>
        <w:t>Graph task performance variables index.</w:t>
      </w:r>
      <w:r>
        <w:rPr>
          <w:b/>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399"/>
        <w:gridCol w:w="2316"/>
        <w:gridCol w:w="629"/>
        <w:gridCol w:w="683"/>
        <w:gridCol w:w="683"/>
        <w:gridCol w:w="1643"/>
        <w:gridCol w:w="971"/>
      </w:tblGrid>
      <w:tr w:rsidR="001B1B29" w:rsidTr="005B4C71">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rPr>
                <w:b/>
              </w:rPr>
            </w:pPr>
            <w:r>
              <w:rPr>
                <w:b/>
              </w:rPr>
              <w:t>Parameters</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pPr>
            <m:oMathPara>
              <m:oMath>
                <m:sSup>
                  <m:sSupPr>
                    <m:ctrlPr>
                      <w:rPr>
                        <w:rFonts w:ascii="Cambria Math" w:hAnsi="Cambria Math"/>
                      </w:rPr>
                    </m:ctrlPr>
                  </m:sSupPr>
                  <m:e>
                    <m:r>
                      <w:rPr>
                        <w:rFonts w:ascii="Cambria Math" w:hAnsi="Cambria Math"/>
                      </w:rPr>
                      <m:t>β</m:t>
                    </m:r>
                  </m:e>
                  <m:sup>
                    <m:r>
                      <w:rPr>
                        <w:rFonts w:ascii="Cambria Math" w:hAnsi="Cambria Math"/>
                      </w:rPr>
                      <m:t>s2</m:t>
                    </m:r>
                  </m:sup>
                </m:sSup>
              </m:oMath>
            </m:oMathPara>
          </w:p>
          <w:p w:rsidR="001B1B29" w:rsidRDefault="001B1B29" w:rsidP="005B4C71">
            <w:pPr>
              <w:widowControl w:val="0"/>
              <w:spacing w:line="240" w:lineRule="auto"/>
              <w:jc w:val="center"/>
            </w:pPr>
            <w:r>
              <w:t>(Inverse temperature)</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rPr>
                <w:b/>
              </w:rPr>
            </w:pPr>
            <m:oMathPara>
              <m:oMath>
                <m:sSup>
                  <m:sSupPr>
                    <m:ctrlPr>
                      <w:rPr>
                        <w:rFonts w:ascii="Cambria Math" w:hAnsi="Cambria Math"/>
                      </w:rPr>
                    </m:ctrlPr>
                  </m:sSupPr>
                  <m:e>
                    <m:r>
                      <w:rPr>
                        <w:rFonts w:ascii="Cambria Math" w:hAnsi="Cambria Math"/>
                      </w:rPr>
                      <m:t>β</m:t>
                    </m:r>
                  </m:e>
                  <m:sup>
                    <m:r>
                      <w:rPr>
                        <w:rFonts w:ascii="Cambria Math" w:hAnsi="Cambria Math"/>
                      </w:rPr>
                      <m:t>MB</m:t>
                    </m:r>
                  </m:sup>
                </m:sSup>
              </m:oMath>
            </m:oMathPara>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rPr>
                <w:b/>
              </w:rPr>
            </w:pPr>
            <m:oMathPara>
              <m:oMath>
                <m:sSup>
                  <m:sSupPr>
                    <m:ctrlPr>
                      <w:rPr>
                        <w:rFonts w:ascii="Cambria Math" w:hAnsi="Cambria Math"/>
                      </w:rPr>
                    </m:ctrlPr>
                  </m:sSupPr>
                  <m:e>
                    <m:r>
                      <w:rPr>
                        <w:rFonts w:ascii="Cambria Math" w:hAnsi="Cambria Math"/>
                      </w:rPr>
                      <m:t>β</m:t>
                    </m:r>
                  </m:e>
                  <m:sup>
                    <m:r>
                      <w:rPr>
                        <w:rFonts w:ascii="Cambria Math" w:hAnsi="Cambria Math"/>
                      </w:rPr>
                      <m:t>MF0</m:t>
                    </m:r>
                  </m:sup>
                </m:sSup>
              </m:oMath>
            </m:oMathPara>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rPr>
                <w:b/>
              </w:rPr>
            </w:pPr>
            <m:oMathPara>
              <m:oMath>
                <m:sSup>
                  <m:sSupPr>
                    <m:ctrlPr>
                      <w:rPr>
                        <w:rFonts w:ascii="Cambria Math" w:hAnsi="Cambria Math"/>
                      </w:rPr>
                    </m:ctrlPr>
                  </m:sSupPr>
                  <m:e>
                    <m:r>
                      <w:rPr>
                        <w:rFonts w:ascii="Cambria Math" w:hAnsi="Cambria Math"/>
                      </w:rPr>
                      <m:t>β</m:t>
                    </m:r>
                  </m:e>
                  <m:sup>
                    <m:r>
                      <w:rPr>
                        <w:rFonts w:ascii="Cambria Math" w:hAnsi="Cambria Math"/>
                      </w:rPr>
                      <m:t>MF1</m:t>
                    </m:r>
                  </m:sup>
                </m:sSup>
              </m:oMath>
            </m:oMathPara>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pPr>
            <m:oMathPara>
              <m:oMath>
                <m:r>
                  <w:rPr>
                    <w:rFonts w:ascii="Cambria Math" w:hAnsi="Cambria Math"/>
                  </w:rPr>
                  <m:t>α</m:t>
                </m:r>
              </m:oMath>
            </m:oMathPara>
          </w:p>
          <w:p w:rsidR="001B1B29" w:rsidRDefault="001B1B29" w:rsidP="005B4C71">
            <w:pPr>
              <w:widowControl w:val="0"/>
              <w:spacing w:line="240" w:lineRule="auto"/>
              <w:jc w:val="center"/>
            </w:pPr>
            <w:r>
              <w:t>(Learning rate)</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jc w:val="center"/>
            </w:pPr>
            <m:oMathPara>
              <m:oMath>
                <m:r>
                  <w:rPr>
                    <w:rFonts w:ascii="Cambria Math" w:hAnsi="Cambria Math"/>
                  </w:rPr>
                  <m:t>γ</m:t>
                </m:r>
              </m:oMath>
            </m:oMathPara>
          </w:p>
          <w:p w:rsidR="001B1B29" w:rsidRDefault="001B1B29" w:rsidP="005B4C71">
            <w:pPr>
              <w:widowControl w:val="0"/>
              <w:spacing w:line="240" w:lineRule="auto"/>
              <w:jc w:val="center"/>
            </w:pPr>
            <w:r>
              <w:t>(Decay)</w:t>
            </w:r>
          </w:p>
        </w:tc>
      </w:tr>
      <w:tr w:rsidR="001B1B29" w:rsidTr="005B4C71">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rPr>
                <w:b/>
              </w:rPr>
            </w:pPr>
            <w:r>
              <w:rPr>
                <w:b/>
              </w:rPr>
              <w:t>Estimate</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1.03</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0.56</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0.52</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0.37</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0.46</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0.82</w:t>
            </w:r>
          </w:p>
        </w:tc>
      </w:tr>
      <w:tr w:rsidR="001B1B29" w:rsidTr="005B4C71">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rPr>
                <w:b/>
              </w:rPr>
            </w:pPr>
            <w:r>
              <w:rPr>
                <w:b/>
              </w:rPr>
              <w:t>SD</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0.56</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0.43</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0.32</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0.46</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0.27</w:t>
            </w:r>
          </w:p>
        </w:tc>
        <w:tc>
          <w:tcPr>
            <w:tcW w:w="0" w:type="auto"/>
            <w:shd w:val="clear" w:color="auto" w:fill="auto"/>
            <w:tcMar>
              <w:top w:w="100" w:type="dxa"/>
              <w:left w:w="100" w:type="dxa"/>
              <w:bottom w:w="100" w:type="dxa"/>
              <w:right w:w="100" w:type="dxa"/>
            </w:tcMar>
          </w:tcPr>
          <w:p w:rsidR="001B1B29" w:rsidRDefault="001B1B29" w:rsidP="005B4C71">
            <w:pPr>
              <w:widowControl w:val="0"/>
              <w:spacing w:line="240" w:lineRule="auto"/>
            </w:pPr>
            <w:r>
              <w:t>0.20</w:t>
            </w:r>
          </w:p>
        </w:tc>
      </w:tr>
    </w:tbl>
    <w:p w:rsidR="001B1B29" w:rsidRDefault="001B1B29" w:rsidP="001B1B29">
      <w:pPr>
        <w:spacing w:line="360" w:lineRule="auto"/>
        <w:jc w:val="both"/>
        <w:rPr>
          <w:b/>
        </w:rPr>
      </w:pPr>
      <w:r>
        <w:rPr>
          <w:b/>
        </w:rPr>
        <w:t xml:space="preserve">Table S7. </w:t>
      </w:r>
      <w:r>
        <w:t xml:space="preserve">Reinforcement learning parameters point estimates and standard deviations.  </w:t>
      </w:r>
    </w:p>
    <w:p w:rsidR="001B1B29" w:rsidRDefault="001B1B29">
      <w:bookmarkStart w:id="0" w:name="_GoBack"/>
      <w:bookmarkEnd w:id="0"/>
    </w:p>
    <w:sectPr w:rsidR="001B1B29">
      <w:footerReference w:type="default" r:id="rId9"/>
      <w:pgSz w:w="12240" w:h="15840"/>
      <w:pgMar w:top="1440" w:right="1440" w:bottom="1440" w:left="1440" w:header="0" w:footer="720" w:gutter="0"/>
      <w:pgNumType w:start="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D08" w:rsidRDefault="001B1B29">
    <w:pPr>
      <w:jc w:val="center"/>
    </w:pPr>
    <w:r>
      <w:fldChar w:fldCharType="begin"/>
    </w:r>
    <w:r>
      <w:instrText>PAGE</w:instrText>
    </w:r>
    <w:r>
      <w:fldChar w:fldCharType="separate"/>
    </w:r>
    <w:r>
      <w:rPr>
        <w:noProof/>
      </w:rPr>
      <w:t>6</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B29"/>
    <w:rsid w:val="001B1B29"/>
    <w:rsid w:val="00E41C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B29"/>
    <w:pPr>
      <w:spacing w:after="0"/>
    </w:pPr>
    <w:rPr>
      <w:rFonts w:ascii="Arial" w:eastAsia="Arial" w:hAnsi="Arial" w:cs="Arial"/>
      <w:lang w:val="e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B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B29"/>
    <w:rPr>
      <w:rFonts w:ascii="Tahoma" w:eastAsia="Arial" w:hAnsi="Tahoma" w:cs="Tahoma"/>
      <w:sz w:val="16"/>
      <w:szCs w:val="16"/>
      <w:lang w:val="e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B29"/>
    <w:pPr>
      <w:spacing w:after="0"/>
    </w:pPr>
    <w:rPr>
      <w:rFonts w:ascii="Arial" w:eastAsia="Arial" w:hAnsi="Arial" w:cs="Arial"/>
      <w:lang w:val="e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B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B29"/>
    <w:rPr>
      <w:rFonts w:ascii="Tahoma" w:eastAsia="Arial" w:hAnsi="Tahoma" w:cs="Tahoma"/>
      <w:sz w:val="16"/>
      <w:szCs w:val="16"/>
      <w:lang w:val="e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1084</Words>
  <Characters>6290</Characters>
  <Application>Microsoft Office Word</Application>
  <DocSecurity>0</DocSecurity>
  <Lines>120</Lines>
  <Paragraphs>35</Paragraphs>
  <ScaleCrop>false</ScaleCrop>
  <Company>Spi-Global</Company>
  <LinksUpToDate>false</LinksUpToDate>
  <CharactersWithSpaces>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205666</dc:creator>
  <cp:lastModifiedBy>205666</cp:lastModifiedBy>
  <cp:revision>1</cp:revision>
  <dcterms:created xsi:type="dcterms:W3CDTF">2022-03-22T12:03:00Z</dcterms:created>
  <dcterms:modified xsi:type="dcterms:W3CDTF">2022-03-22T12:03:00Z</dcterms:modified>
</cp:coreProperties>
</file>